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226"/>
      </w:tblGrid>
      <w:tr w:rsidR="00525FAE" w:rsidTr="00EC7734">
        <w:tc>
          <w:tcPr>
            <w:tcW w:w="6345" w:type="dxa"/>
          </w:tcPr>
          <w:p w:rsidR="00525FAE" w:rsidRPr="00D93CB1" w:rsidRDefault="00525FAE" w:rsidP="00EC7734">
            <w:pPr>
              <w:tabs>
                <w:tab w:val="left" w:pos="6585"/>
              </w:tabs>
              <w:jc w:val="center"/>
              <w:rPr>
                <w:b/>
                <w:sz w:val="28"/>
                <w:szCs w:val="28"/>
              </w:rPr>
            </w:pPr>
            <w:r w:rsidRPr="00D93CB1">
              <w:rPr>
                <w:b/>
                <w:sz w:val="28"/>
                <w:szCs w:val="28"/>
              </w:rPr>
              <w:t>СОВЕТ ДЕПУТАТОВ</w:t>
            </w:r>
          </w:p>
          <w:p w:rsidR="00525FAE" w:rsidRPr="00D93CB1" w:rsidRDefault="00525FAE" w:rsidP="00EC7734">
            <w:pPr>
              <w:jc w:val="center"/>
              <w:rPr>
                <w:b/>
                <w:sz w:val="28"/>
                <w:szCs w:val="28"/>
              </w:rPr>
            </w:pPr>
            <w:r w:rsidRPr="00D93CB1">
              <w:rPr>
                <w:b/>
                <w:sz w:val="28"/>
                <w:szCs w:val="28"/>
              </w:rPr>
              <w:t>МУНИЦИПАЛЬНОГО ОБРАЗОВАНИЯ</w:t>
            </w:r>
          </w:p>
          <w:p w:rsidR="00525FAE" w:rsidRPr="00D93CB1" w:rsidRDefault="00525FAE" w:rsidP="00EC7734">
            <w:pPr>
              <w:jc w:val="center"/>
              <w:rPr>
                <w:b/>
                <w:sz w:val="28"/>
                <w:szCs w:val="28"/>
              </w:rPr>
            </w:pPr>
            <w:r w:rsidRPr="00D93CB1">
              <w:rPr>
                <w:b/>
                <w:sz w:val="28"/>
                <w:szCs w:val="28"/>
              </w:rPr>
              <w:t>КРАСНОЧАБАНСКИЙ СЕЛЬСОВЕТ</w:t>
            </w:r>
          </w:p>
          <w:p w:rsidR="00525FAE" w:rsidRPr="00D93CB1" w:rsidRDefault="00525FAE" w:rsidP="00EC7734">
            <w:pPr>
              <w:jc w:val="center"/>
              <w:rPr>
                <w:b/>
                <w:sz w:val="28"/>
                <w:szCs w:val="28"/>
              </w:rPr>
            </w:pPr>
            <w:r w:rsidRPr="00D93CB1">
              <w:rPr>
                <w:b/>
                <w:sz w:val="28"/>
                <w:szCs w:val="28"/>
              </w:rPr>
              <w:t>ДОМБАРОВСКОГО РАЙОНА</w:t>
            </w:r>
          </w:p>
          <w:p w:rsidR="00525FAE" w:rsidRPr="00D93CB1" w:rsidRDefault="00525FAE" w:rsidP="00EC7734">
            <w:pPr>
              <w:jc w:val="center"/>
              <w:rPr>
                <w:b/>
                <w:sz w:val="28"/>
                <w:szCs w:val="28"/>
              </w:rPr>
            </w:pPr>
            <w:r w:rsidRPr="00D93CB1">
              <w:rPr>
                <w:b/>
                <w:sz w:val="28"/>
                <w:szCs w:val="28"/>
              </w:rPr>
              <w:t>ОРЕНБУРГСКОЙ ОБЛАСТИ</w:t>
            </w:r>
          </w:p>
          <w:p w:rsidR="00525FAE" w:rsidRPr="00D93CB1" w:rsidRDefault="00525FAE" w:rsidP="00EC7734">
            <w:pPr>
              <w:jc w:val="center"/>
              <w:rPr>
                <w:b/>
                <w:sz w:val="28"/>
                <w:szCs w:val="28"/>
              </w:rPr>
            </w:pPr>
            <w:r w:rsidRPr="00D93CB1">
              <w:rPr>
                <w:b/>
                <w:sz w:val="28"/>
                <w:szCs w:val="28"/>
              </w:rPr>
              <w:t>Третий созыв</w:t>
            </w:r>
          </w:p>
          <w:p w:rsidR="00525FAE" w:rsidRPr="00D93CB1" w:rsidRDefault="00525FAE" w:rsidP="00EC7734">
            <w:pPr>
              <w:pStyle w:val="2"/>
              <w:jc w:val="center"/>
              <w:rPr>
                <w:rFonts w:ascii="Times New Roman" w:hAnsi="Times New Roman" w:cs="Times New Roman"/>
                <w:b/>
                <w:bCs/>
                <w:sz w:val="28"/>
                <w:szCs w:val="28"/>
              </w:rPr>
            </w:pPr>
            <w:r w:rsidRPr="00D93CB1">
              <w:rPr>
                <w:rFonts w:ascii="Times New Roman" w:hAnsi="Times New Roman" w:cs="Times New Roman"/>
                <w:b/>
                <w:bCs/>
                <w:sz w:val="28"/>
                <w:szCs w:val="28"/>
              </w:rPr>
              <w:t>Сорок девятое очередное заседание</w:t>
            </w:r>
          </w:p>
          <w:p w:rsidR="00525FAE" w:rsidRDefault="00525FAE" w:rsidP="00EC7734">
            <w:pPr>
              <w:tabs>
                <w:tab w:val="left" w:pos="6585"/>
              </w:tabs>
              <w:jc w:val="center"/>
              <w:rPr>
                <w:b/>
                <w:sz w:val="28"/>
                <w:szCs w:val="28"/>
              </w:rPr>
            </w:pPr>
          </w:p>
        </w:tc>
        <w:tc>
          <w:tcPr>
            <w:tcW w:w="3226" w:type="dxa"/>
          </w:tcPr>
          <w:p w:rsidR="00525FAE" w:rsidRDefault="00525FAE" w:rsidP="00EC7734">
            <w:pPr>
              <w:tabs>
                <w:tab w:val="left" w:pos="6585"/>
              </w:tabs>
              <w:jc w:val="center"/>
              <w:rPr>
                <w:b/>
                <w:sz w:val="28"/>
                <w:szCs w:val="28"/>
              </w:rPr>
            </w:pPr>
          </w:p>
        </w:tc>
      </w:tr>
    </w:tbl>
    <w:p w:rsidR="00525FAE" w:rsidRPr="00D93CB1" w:rsidRDefault="00525FAE" w:rsidP="00525FAE">
      <w:pPr>
        <w:rPr>
          <w:b/>
          <w:bCs/>
          <w:sz w:val="28"/>
          <w:szCs w:val="28"/>
        </w:rPr>
      </w:pPr>
      <w:r>
        <w:rPr>
          <w:b/>
          <w:bCs/>
          <w:sz w:val="28"/>
          <w:szCs w:val="28"/>
        </w:rPr>
        <w:t>РЕШЕНИЕ  № 49-3</w:t>
      </w:r>
    </w:p>
    <w:p w:rsidR="00525FAE" w:rsidRPr="00D93CB1" w:rsidRDefault="00525FAE" w:rsidP="00525FAE">
      <w:pPr>
        <w:rPr>
          <w:b/>
          <w:sz w:val="28"/>
          <w:szCs w:val="28"/>
        </w:rPr>
      </w:pPr>
      <w:r>
        <w:rPr>
          <w:b/>
          <w:sz w:val="28"/>
          <w:szCs w:val="28"/>
        </w:rPr>
        <w:t>от  28 июня</w:t>
      </w:r>
      <w:r w:rsidRPr="00D93CB1">
        <w:rPr>
          <w:b/>
          <w:sz w:val="28"/>
          <w:szCs w:val="28"/>
        </w:rPr>
        <w:t xml:space="preserve"> 2019 года</w:t>
      </w:r>
    </w:p>
    <w:p w:rsidR="00525FAE" w:rsidRDefault="00525FAE" w:rsidP="00525FAE">
      <w:pPr>
        <w:rPr>
          <w:b/>
          <w:sz w:val="28"/>
          <w:szCs w:val="28"/>
        </w:rPr>
      </w:pPr>
    </w:p>
    <w:p w:rsidR="00525FAE" w:rsidRDefault="00525FAE" w:rsidP="00525FAE">
      <w:pPr>
        <w:rPr>
          <w:b/>
          <w:sz w:val="28"/>
          <w:szCs w:val="28"/>
        </w:rPr>
      </w:pPr>
      <w:r>
        <w:rPr>
          <w:b/>
          <w:sz w:val="28"/>
          <w:szCs w:val="28"/>
        </w:rPr>
        <w:t>Правовые основания отклонения протеста</w:t>
      </w:r>
    </w:p>
    <w:p w:rsidR="00525FAE" w:rsidRDefault="00525FAE" w:rsidP="00525FAE">
      <w:pPr>
        <w:rPr>
          <w:b/>
          <w:sz w:val="28"/>
          <w:szCs w:val="28"/>
        </w:rPr>
      </w:pPr>
      <w:r>
        <w:rPr>
          <w:b/>
          <w:sz w:val="28"/>
          <w:szCs w:val="28"/>
        </w:rPr>
        <w:t xml:space="preserve"> прокуратуры Домбаровского района</w:t>
      </w:r>
    </w:p>
    <w:p w:rsidR="00525FAE" w:rsidRDefault="00525FAE" w:rsidP="00525FAE">
      <w:pPr>
        <w:rPr>
          <w:b/>
          <w:sz w:val="28"/>
          <w:szCs w:val="28"/>
        </w:rPr>
      </w:pPr>
      <w:r>
        <w:rPr>
          <w:b/>
          <w:sz w:val="28"/>
          <w:szCs w:val="28"/>
        </w:rPr>
        <w:t xml:space="preserve"> № 7-1-2019 от 29.03.2019 года</w:t>
      </w:r>
    </w:p>
    <w:p w:rsidR="00525FAE" w:rsidRDefault="00525FAE" w:rsidP="00525FAE">
      <w:pPr>
        <w:rPr>
          <w:b/>
          <w:sz w:val="28"/>
          <w:szCs w:val="28"/>
        </w:rPr>
      </w:pPr>
      <w:r>
        <w:rPr>
          <w:b/>
          <w:sz w:val="28"/>
          <w:szCs w:val="28"/>
        </w:rPr>
        <w:t xml:space="preserve"> на решение Совета депутатов </w:t>
      </w:r>
    </w:p>
    <w:p w:rsidR="00525FAE" w:rsidRDefault="00525FAE" w:rsidP="00525FAE">
      <w:pPr>
        <w:rPr>
          <w:b/>
          <w:sz w:val="28"/>
          <w:szCs w:val="28"/>
        </w:rPr>
      </w:pPr>
      <w:r w:rsidRPr="0086137A">
        <w:rPr>
          <w:b/>
          <w:sz w:val="28"/>
          <w:szCs w:val="28"/>
        </w:rPr>
        <w:t>муниципального о</w:t>
      </w:r>
      <w:r>
        <w:rPr>
          <w:b/>
          <w:sz w:val="28"/>
          <w:szCs w:val="28"/>
        </w:rPr>
        <w:t xml:space="preserve">бразования </w:t>
      </w:r>
    </w:p>
    <w:p w:rsidR="00525FAE" w:rsidRDefault="00525FAE" w:rsidP="00525FAE">
      <w:pPr>
        <w:rPr>
          <w:b/>
          <w:sz w:val="28"/>
          <w:szCs w:val="28"/>
        </w:rPr>
      </w:pPr>
      <w:r>
        <w:rPr>
          <w:b/>
          <w:sz w:val="28"/>
          <w:szCs w:val="28"/>
        </w:rPr>
        <w:t>Красночабанский сельсовет</w:t>
      </w:r>
    </w:p>
    <w:p w:rsidR="00525FAE" w:rsidRDefault="00525FAE" w:rsidP="00525FAE">
      <w:pPr>
        <w:rPr>
          <w:b/>
          <w:sz w:val="28"/>
          <w:szCs w:val="28"/>
        </w:rPr>
      </w:pPr>
      <w:r>
        <w:rPr>
          <w:b/>
          <w:sz w:val="28"/>
          <w:szCs w:val="28"/>
        </w:rPr>
        <w:t xml:space="preserve"> от 02.11.2017 г № 29-6 «Об утверждении </w:t>
      </w:r>
    </w:p>
    <w:p w:rsidR="00525FAE" w:rsidRDefault="00525FAE" w:rsidP="00525FAE">
      <w:pPr>
        <w:rPr>
          <w:b/>
          <w:sz w:val="28"/>
          <w:szCs w:val="28"/>
        </w:rPr>
      </w:pPr>
      <w:r>
        <w:rPr>
          <w:b/>
          <w:sz w:val="28"/>
          <w:szCs w:val="28"/>
        </w:rPr>
        <w:t>Положения о земельном налоге</w:t>
      </w:r>
      <w:r w:rsidR="001B6285">
        <w:rPr>
          <w:b/>
          <w:sz w:val="28"/>
          <w:szCs w:val="28"/>
        </w:rPr>
        <w:t>»</w:t>
      </w:r>
    </w:p>
    <w:p w:rsidR="00525FAE" w:rsidRDefault="00525FAE" w:rsidP="00525FAE">
      <w:pPr>
        <w:jc w:val="both"/>
        <w:rPr>
          <w:b/>
          <w:sz w:val="28"/>
          <w:szCs w:val="28"/>
        </w:rPr>
      </w:pPr>
      <w:r>
        <w:rPr>
          <w:b/>
          <w:sz w:val="28"/>
          <w:szCs w:val="28"/>
        </w:rPr>
        <w:t xml:space="preserve">     </w:t>
      </w:r>
    </w:p>
    <w:p w:rsidR="00525FAE" w:rsidRDefault="00525FAE" w:rsidP="00525FAE">
      <w:pPr>
        <w:ind w:firstLine="709"/>
        <w:jc w:val="both"/>
        <w:rPr>
          <w:sz w:val="28"/>
          <w:szCs w:val="28"/>
        </w:rPr>
      </w:pPr>
      <w:proofErr w:type="gramStart"/>
      <w:r w:rsidRPr="0096102D">
        <w:rPr>
          <w:sz w:val="28"/>
          <w:szCs w:val="28"/>
        </w:rPr>
        <w:t xml:space="preserve">В протесте прокуратура Домбаровского района </w:t>
      </w:r>
      <w:r>
        <w:rPr>
          <w:sz w:val="28"/>
          <w:szCs w:val="28"/>
        </w:rPr>
        <w:t>усматривает противоречие оспариваемого решения Совета депутатов № 29-6 от 02.11.2017 года, в том, что в нем не нашли своего отражения изменения внесенные в статью 52 НК РФ, согласно которым введен пункт 2.1. где установлено, что перерасчет сумм ранее исчисленных налогов, указанных в пункте 1 статьи 15 настоящего Кодекса, осуществляется не более чем за три налоговых периода</w:t>
      </w:r>
      <w:proofErr w:type="gramEnd"/>
      <w:r>
        <w:rPr>
          <w:sz w:val="28"/>
          <w:szCs w:val="28"/>
        </w:rPr>
        <w:t xml:space="preserve">, </w:t>
      </w:r>
      <w:proofErr w:type="gramStart"/>
      <w:r>
        <w:rPr>
          <w:sz w:val="28"/>
          <w:szCs w:val="28"/>
        </w:rPr>
        <w:t>предшествующих</w:t>
      </w:r>
      <w:proofErr w:type="gramEnd"/>
      <w:r>
        <w:rPr>
          <w:sz w:val="28"/>
          <w:szCs w:val="28"/>
        </w:rPr>
        <w:t xml:space="preserve"> календарному году направления налогового уведомления в связи с перерасчетом, если иное не предусмотрено настоящим пунктом.</w:t>
      </w:r>
    </w:p>
    <w:p w:rsidR="00525FAE" w:rsidRDefault="00525FAE" w:rsidP="00525FAE">
      <w:pPr>
        <w:ind w:firstLine="709"/>
        <w:jc w:val="both"/>
        <w:rPr>
          <w:sz w:val="28"/>
          <w:szCs w:val="28"/>
        </w:rPr>
      </w:pPr>
      <w:r>
        <w:rPr>
          <w:sz w:val="28"/>
          <w:szCs w:val="28"/>
        </w:rPr>
        <w:t>Перерасчет, предусмотренный абзацем первым настоящего пункта, в отношении налогов, указанных в пункте 1 статьи 15 настоящего Кодекса, не осуществляется, если влечет увеличение ранее уплаченных сумм указанных налогов.</w:t>
      </w:r>
    </w:p>
    <w:p w:rsidR="00525FAE" w:rsidRPr="005C4CDE" w:rsidRDefault="00525FAE" w:rsidP="00525FAE">
      <w:pPr>
        <w:ind w:firstLine="709"/>
        <w:jc w:val="both"/>
        <w:rPr>
          <w:sz w:val="28"/>
          <w:szCs w:val="28"/>
        </w:rPr>
      </w:pPr>
      <w:r w:rsidRPr="005C4CDE">
        <w:rPr>
          <w:sz w:val="28"/>
          <w:szCs w:val="28"/>
        </w:rPr>
        <w:t xml:space="preserve">На основании </w:t>
      </w:r>
      <w:r>
        <w:rPr>
          <w:sz w:val="28"/>
          <w:szCs w:val="28"/>
        </w:rPr>
        <w:t>статьи 387</w:t>
      </w:r>
      <w:r w:rsidRPr="005C4CDE">
        <w:rPr>
          <w:sz w:val="28"/>
          <w:szCs w:val="28"/>
        </w:rPr>
        <w:t xml:space="preserve"> НК РФ земельный налог устанавливается Налоговым кодексом Российской Федерации и нормативными правовыми актами представительных органов муниципальных образований, вводится в действие и прекращает действовать в соответствии с Налоговым кодексом Российской Федерации и нормативными правовыми актами представительных органов муниципальных образований. </w:t>
      </w:r>
    </w:p>
    <w:p w:rsidR="00525FAE" w:rsidRPr="005C4CDE" w:rsidRDefault="00525FAE" w:rsidP="00525FAE">
      <w:pPr>
        <w:ind w:firstLine="709"/>
        <w:jc w:val="both"/>
        <w:rPr>
          <w:sz w:val="28"/>
          <w:szCs w:val="28"/>
        </w:rPr>
      </w:pPr>
      <w:r w:rsidRPr="005C4CDE">
        <w:rPr>
          <w:sz w:val="28"/>
          <w:szCs w:val="28"/>
        </w:rPr>
        <w:t xml:space="preserve">Устанавливая налог, представительные органы муниципальных образований определяют </w:t>
      </w:r>
      <w:r w:rsidRPr="005C4CDE">
        <w:rPr>
          <w:b/>
          <w:sz w:val="28"/>
          <w:szCs w:val="28"/>
        </w:rPr>
        <w:t>налоговые ставки</w:t>
      </w:r>
      <w:r w:rsidRPr="005C4CDE">
        <w:rPr>
          <w:sz w:val="28"/>
          <w:szCs w:val="28"/>
        </w:rPr>
        <w:t xml:space="preserve"> в пределах установленных главой 31 НК РФ.</w:t>
      </w:r>
    </w:p>
    <w:p w:rsidR="00525FAE" w:rsidRDefault="00525FAE" w:rsidP="00525FAE">
      <w:pPr>
        <w:ind w:firstLine="709"/>
        <w:jc w:val="both"/>
        <w:rPr>
          <w:sz w:val="28"/>
          <w:szCs w:val="28"/>
        </w:rPr>
      </w:pPr>
      <w:r w:rsidRPr="005C4CDE">
        <w:rPr>
          <w:sz w:val="28"/>
          <w:szCs w:val="28"/>
        </w:rPr>
        <w:t>В отношении налогоплательщиков-организаций предста</w:t>
      </w:r>
      <w:r>
        <w:rPr>
          <w:sz w:val="28"/>
          <w:szCs w:val="28"/>
        </w:rPr>
        <w:t xml:space="preserve">вительные органы муниципальных </w:t>
      </w:r>
      <w:r w:rsidRPr="005C4CDE">
        <w:rPr>
          <w:sz w:val="28"/>
          <w:szCs w:val="28"/>
        </w:rPr>
        <w:t>образований</w:t>
      </w:r>
      <w:r>
        <w:rPr>
          <w:sz w:val="28"/>
          <w:szCs w:val="28"/>
        </w:rPr>
        <w:t>,</w:t>
      </w:r>
      <w:r w:rsidRPr="005C4CDE">
        <w:rPr>
          <w:sz w:val="28"/>
          <w:szCs w:val="28"/>
        </w:rPr>
        <w:t xml:space="preserve"> устанавливая налог, определяют </w:t>
      </w:r>
      <w:r>
        <w:rPr>
          <w:b/>
          <w:sz w:val="28"/>
          <w:szCs w:val="28"/>
        </w:rPr>
        <w:t xml:space="preserve">также порядок </w:t>
      </w:r>
      <w:r w:rsidRPr="005C4CDE">
        <w:rPr>
          <w:b/>
          <w:sz w:val="28"/>
          <w:szCs w:val="28"/>
        </w:rPr>
        <w:t>и сроки уплаты налога</w:t>
      </w:r>
      <w:r w:rsidRPr="005C4CDE">
        <w:rPr>
          <w:sz w:val="28"/>
          <w:szCs w:val="28"/>
        </w:rPr>
        <w:t xml:space="preserve">. </w:t>
      </w:r>
    </w:p>
    <w:p w:rsidR="00525FAE" w:rsidRDefault="00525FAE" w:rsidP="00525FAE">
      <w:pPr>
        <w:ind w:firstLine="709"/>
        <w:jc w:val="both"/>
        <w:rPr>
          <w:sz w:val="28"/>
          <w:szCs w:val="28"/>
        </w:rPr>
      </w:pPr>
      <w:r w:rsidRPr="005C4CDE">
        <w:rPr>
          <w:sz w:val="28"/>
          <w:szCs w:val="28"/>
        </w:rPr>
        <w:lastRenderedPageBreak/>
        <w:t xml:space="preserve">При установлении налога нормативными правовыми актами представительных органов муниципальных образований могут также </w:t>
      </w:r>
      <w:r w:rsidRPr="005C4CDE">
        <w:rPr>
          <w:b/>
          <w:sz w:val="28"/>
          <w:szCs w:val="28"/>
        </w:rPr>
        <w:t>устанавливаться налоговые льготы, основания и порядок их применения, включая установление величины н</w:t>
      </w:r>
      <w:r>
        <w:rPr>
          <w:b/>
          <w:sz w:val="28"/>
          <w:szCs w:val="28"/>
        </w:rPr>
        <w:t xml:space="preserve">алогового вычета для отдельных </w:t>
      </w:r>
      <w:r w:rsidRPr="005C4CDE">
        <w:rPr>
          <w:b/>
          <w:sz w:val="28"/>
          <w:szCs w:val="28"/>
        </w:rPr>
        <w:t>категорий налогоплательщиков</w:t>
      </w:r>
      <w:r w:rsidRPr="005C4CDE">
        <w:rPr>
          <w:sz w:val="28"/>
          <w:szCs w:val="28"/>
        </w:rPr>
        <w:t>.</w:t>
      </w:r>
    </w:p>
    <w:p w:rsidR="00525FAE" w:rsidRDefault="00525FAE" w:rsidP="00525FAE">
      <w:pPr>
        <w:ind w:firstLine="709"/>
        <w:jc w:val="both"/>
        <w:rPr>
          <w:sz w:val="28"/>
          <w:szCs w:val="28"/>
        </w:rPr>
      </w:pPr>
      <w:r>
        <w:rPr>
          <w:sz w:val="28"/>
          <w:szCs w:val="28"/>
        </w:rPr>
        <w:t>Таким образом, обязанности включения представительными органами в свои решения по установлению земельного налога порядка перерасчета сумм ранее исчисленных налогов нет. Обратное лишь будет дублировать положение пункта 2.1. статьи 52 НК РФ.</w:t>
      </w:r>
    </w:p>
    <w:p w:rsidR="00525FAE" w:rsidRDefault="00525FAE" w:rsidP="00525FAE">
      <w:pPr>
        <w:ind w:firstLine="709"/>
        <w:jc w:val="both"/>
        <w:rPr>
          <w:sz w:val="28"/>
          <w:szCs w:val="28"/>
        </w:rPr>
      </w:pPr>
      <w:r>
        <w:rPr>
          <w:sz w:val="28"/>
          <w:szCs w:val="28"/>
        </w:rPr>
        <w:t>Указанное выше подтверждается практикой принятия правовых актов по установлению налогов представительными органами муниципальных образований Оренбургской области, ни одно из которых не содержит положений пункта 2.1 статьи 52 НК РФ, требуемых включению в данном протесте прокуратуры Домбаровского района.</w:t>
      </w:r>
    </w:p>
    <w:p w:rsidR="00525FAE" w:rsidRPr="005C4CDE" w:rsidRDefault="00525FAE" w:rsidP="00525FAE">
      <w:pPr>
        <w:ind w:firstLine="709"/>
        <w:jc w:val="both"/>
        <w:rPr>
          <w:sz w:val="28"/>
          <w:szCs w:val="28"/>
        </w:rPr>
      </w:pPr>
      <w:r>
        <w:rPr>
          <w:sz w:val="28"/>
          <w:szCs w:val="28"/>
        </w:rPr>
        <w:t>В связи с чем, данное решение Совета депутатов № 29-6 от 02.11.2017 года не противоречит действующему законодательству РФ в оспариваемой части протестом прокуратуры Домбаровского района № 7-1-2019 от 29.03.2018 года. Протест прокуратуры подлежит отклонению.</w:t>
      </w:r>
    </w:p>
    <w:p w:rsidR="00525FAE" w:rsidRPr="005C4CDE" w:rsidRDefault="00525FAE" w:rsidP="00525FAE">
      <w:pPr>
        <w:jc w:val="both"/>
        <w:rPr>
          <w:sz w:val="28"/>
          <w:szCs w:val="28"/>
        </w:rPr>
      </w:pPr>
    </w:p>
    <w:p w:rsidR="00525FAE" w:rsidRDefault="00525FAE" w:rsidP="00525FAE">
      <w:pPr>
        <w:pStyle w:val="ConsPlusNormal"/>
        <w:ind w:firstLine="709"/>
        <w:jc w:val="both"/>
        <w:rPr>
          <w:rFonts w:ascii="Times New Roman" w:hAnsi="Times New Roman" w:cs="Times New Roman"/>
          <w:b/>
          <w:sz w:val="28"/>
          <w:szCs w:val="28"/>
        </w:rPr>
      </w:pPr>
    </w:p>
    <w:p w:rsidR="00565F34" w:rsidRDefault="00565F34"/>
    <w:sectPr w:rsidR="00565F34"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25FAE"/>
    <w:rsid w:val="001B6285"/>
    <w:rsid w:val="00251207"/>
    <w:rsid w:val="005204FA"/>
    <w:rsid w:val="00525FAE"/>
    <w:rsid w:val="00565F34"/>
    <w:rsid w:val="00654B32"/>
    <w:rsid w:val="006A12D6"/>
    <w:rsid w:val="00776324"/>
    <w:rsid w:val="00792AC2"/>
    <w:rsid w:val="008556DD"/>
    <w:rsid w:val="00AB49E4"/>
    <w:rsid w:val="00CC6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FAE"/>
    <w:pPr>
      <w:autoSpaceDE w:val="0"/>
      <w:autoSpaceDN w:val="0"/>
      <w:adjustRightInd w:val="0"/>
      <w:spacing w:after="0" w:line="240" w:lineRule="auto"/>
    </w:pPr>
    <w:rPr>
      <w:rFonts w:ascii="Arial" w:eastAsia="Calibri" w:hAnsi="Arial" w:cs="Arial"/>
      <w:sz w:val="20"/>
      <w:szCs w:val="20"/>
    </w:rPr>
  </w:style>
  <w:style w:type="paragraph" w:customStyle="1" w:styleId="2">
    <w:name w:val="Без интервала2"/>
    <w:rsid w:val="00525FAE"/>
    <w:pPr>
      <w:spacing w:after="0" w:line="240" w:lineRule="auto"/>
    </w:pPr>
    <w:rPr>
      <w:rFonts w:ascii="Calibri" w:eastAsia="Times New Roman" w:hAnsi="Calibri" w:cs="Calibri"/>
      <w:lang w:eastAsia="ru-RU"/>
    </w:rPr>
  </w:style>
  <w:style w:type="table" w:styleId="a3">
    <w:name w:val="Table Grid"/>
    <w:basedOn w:val="a1"/>
    <w:uiPriority w:val="59"/>
    <w:rsid w:val="0052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2019-07-03T10:32:00Z</dcterms:created>
  <dcterms:modified xsi:type="dcterms:W3CDTF">2019-07-03T10:33:00Z</dcterms:modified>
</cp:coreProperties>
</file>